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63" w:rsidRPr="00B65CD5" w:rsidRDefault="00EB3663" w:rsidP="00952395">
      <w:pPr>
        <w:pStyle w:val="1"/>
        <w:ind w:left="1" w:right="1" w:firstLine="708"/>
        <w:jc w:val="center"/>
        <w:rPr>
          <w:rFonts w:ascii="Times New Roman" w:hAnsi="Times New Roman" w:cs="Times New Roman"/>
          <w:b/>
          <w:bCs/>
        </w:rPr>
      </w:pPr>
      <w:r w:rsidRPr="005120A5">
        <w:rPr>
          <w:rFonts w:ascii="Times New Roman" w:hAnsi="Times New Roman" w:cs="Times New Roman"/>
          <w:b/>
          <w:bCs/>
        </w:rPr>
        <w:t>СООБЩЕНИЕ</w:t>
      </w:r>
    </w:p>
    <w:p w:rsidR="00EB3663" w:rsidRPr="005120A5" w:rsidRDefault="00EB3663" w:rsidP="00952395">
      <w:pPr>
        <w:pStyle w:val="1"/>
        <w:ind w:left="1" w:right="1" w:firstLine="708"/>
        <w:jc w:val="center"/>
        <w:rPr>
          <w:rFonts w:ascii="Times New Roman" w:hAnsi="Times New Roman" w:cs="Times New Roman"/>
          <w:b/>
          <w:bCs/>
        </w:rPr>
      </w:pPr>
      <w:r w:rsidRPr="005120A5">
        <w:rPr>
          <w:rFonts w:ascii="Times New Roman" w:hAnsi="Times New Roman" w:cs="Times New Roman"/>
          <w:b/>
          <w:bCs/>
        </w:rPr>
        <w:t xml:space="preserve"> </w:t>
      </w:r>
      <w:r w:rsidRPr="005120A5">
        <w:rPr>
          <w:rFonts w:ascii="Times New Roman" w:hAnsi="Times New Roman" w:cs="Times New Roman"/>
          <w:b/>
          <w:bCs/>
          <w:caps/>
        </w:rPr>
        <w:t xml:space="preserve">о проведении </w:t>
      </w:r>
      <w:r w:rsidR="00B65D94">
        <w:rPr>
          <w:rFonts w:ascii="Times New Roman" w:hAnsi="Times New Roman" w:cs="Times New Roman"/>
          <w:b/>
          <w:bCs/>
          <w:caps/>
        </w:rPr>
        <w:t>ГОДОВОГО</w:t>
      </w:r>
      <w:r w:rsidRPr="005120A5">
        <w:rPr>
          <w:rFonts w:ascii="Times New Roman" w:hAnsi="Times New Roman" w:cs="Times New Roman"/>
          <w:b/>
          <w:bCs/>
          <w:caps/>
        </w:rPr>
        <w:t xml:space="preserve"> общего собрания АКЦИОНЕРОВ</w:t>
      </w:r>
    </w:p>
    <w:p w:rsidR="00EB3663" w:rsidRPr="005120A5" w:rsidRDefault="00EB3663" w:rsidP="002D13CB">
      <w:pPr>
        <w:tabs>
          <w:tab w:val="left" w:pos="284"/>
        </w:tabs>
        <w:ind w:left="1"/>
        <w:jc w:val="center"/>
        <w:rPr>
          <w:b/>
          <w:bCs/>
          <w:i/>
          <w:iCs/>
          <w:u w:val="single"/>
        </w:rPr>
      </w:pPr>
    </w:p>
    <w:p w:rsidR="00EB3663" w:rsidRPr="005120A5" w:rsidRDefault="00EB3663" w:rsidP="002D13CB">
      <w:pPr>
        <w:tabs>
          <w:tab w:val="left" w:pos="284"/>
        </w:tabs>
        <w:ind w:left="1"/>
        <w:jc w:val="center"/>
        <w:rPr>
          <w:b/>
          <w:bCs/>
          <w:i/>
          <w:iCs/>
          <w:u w:val="single"/>
        </w:rPr>
      </w:pPr>
      <w:r w:rsidRPr="005120A5">
        <w:rPr>
          <w:b/>
          <w:bCs/>
          <w:i/>
          <w:iCs/>
          <w:u w:val="single"/>
        </w:rPr>
        <w:t xml:space="preserve">УВАЖАЕМЫЙ </w:t>
      </w:r>
      <w:r w:rsidR="00890C0E" w:rsidRPr="005120A5">
        <w:rPr>
          <w:b/>
          <w:bCs/>
          <w:i/>
          <w:iCs/>
          <w:u w:val="single"/>
        </w:rPr>
        <w:t>АКЦИОНЕР</w:t>
      </w:r>
      <w:r w:rsidR="00890C0E">
        <w:rPr>
          <w:b/>
          <w:bCs/>
          <w:i/>
          <w:iCs/>
          <w:u w:val="single"/>
        </w:rPr>
        <w:t>!</w:t>
      </w:r>
    </w:p>
    <w:p w:rsidR="00EB3663" w:rsidRPr="00111F3D" w:rsidRDefault="00EB3663" w:rsidP="007B43A3">
      <w:pPr>
        <w:tabs>
          <w:tab w:val="left" w:pos="284"/>
        </w:tabs>
        <w:ind w:left="1"/>
        <w:jc w:val="center"/>
        <w:rPr>
          <w:b/>
          <w:bCs/>
          <w:i/>
          <w:iCs/>
          <w:u w:val="single"/>
        </w:rPr>
      </w:pPr>
    </w:p>
    <w:p w:rsidR="00EB3663" w:rsidRPr="00D1532E" w:rsidRDefault="00EB3663" w:rsidP="00DC2EBE">
      <w:pPr>
        <w:suppressAutoHyphens w:val="0"/>
        <w:autoSpaceDE w:val="0"/>
        <w:autoSpaceDN w:val="0"/>
        <w:adjustRightInd w:val="0"/>
        <w:ind w:left="1" w:right="110" w:firstLine="425"/>
        <w:jc w:val="both"/>
      </w:pPr>
      <w:r w:rsidRPr="00111F3D">
        <w:t>Настоящим уве</w:t>
      </w:r>
      <w:r w:rsidR="00B65D94">
        <w:t>домляем Вас о том, что Публичное Акционерное Общество</w:t>
      </w:r>
      <w:r w:rsidRPr="00111F3D">
        <w:t xml:space="preserve"> «</w:t>
      </w:r>
      <w:r w:rsidR="00B65D94">
        <w:t>Гипрометиз</w:t>
      </w:r>
      <w:r w:rsidRPr="00111F3D">
        <w:t xml:space="preserve">» (далее - </w:t>
      </w:r>
      <w:r w:rsidR="00B65D94">
        <w:br/>
      </w:r>
      <w:proofErr w:type="spellStart"/>
      <w:r w:rsidRPr="00111F3D">
        <w:t>ПАО</w:t>
      </w:r>
      <w:proofErr w:type="spellEnd"/>
      <w:r w:rsidRPr="00111F3D">
        <w:t xml:space="preserve"> </w:t>
      </w:r>
      <w:r w:rsidR="00B65D94">
        <w:t>«Гипрометиз</w:t>
      </w:r>
      <w:r w:rsidRPr="00111F3D">
        <w:t>» или Общество) с местонахож</w:t>
      </w:r>
      <w:r w:rsidR="00D1532E">
        <w:t>дением по адресу: Россия, 197101</w:t>
      </w:r>
      <w:r w:rsidRPr="00111F3D">
        <w:t xml:space="preserve">, </w:t>
      </w:r>
      <w:r w:rsidR="00D1532E">
        <w:t>Санкт-Петербург</w:t>
      </w:r>
      <w:r w:rsidRPr="00111F3D">
        <w:t xml:space="preserve">, </w:t>
      </w:r>
      <w:r w:rsidR="00D1532E">
        <w:t>Каменноостровский пр., д. 15</w:t>
      </w:r>
      <w:r w:rsidRPr="00111F3D">
        <w:t xml:space="preserve">, в соответствии со ст. 47 ФЗ «Об акционерных обществах», </w:t>
      </w:r>
      <w:r w:rsidRPr="00111F3D">
        <w:rPr>
          <w:lang w:eastAsia="ru-RU"/>
        </w:rPr>
        <w:t>с решением Совета директоров</w:t>
      </w:r>
      <w:r w:rsidR="00D1532E">
        <w:rPr>
          <w:lang w:eastAsia="ru-RU"/>
        </w:rPr>
        <w:t xml:space="preserve"> </w:t>
      </w:r>
      <w:r w:rsidRPr="00111F3D">
        <w:rPr>
          <w:lang w:eastAsia="ru-RU"/>
        </w:rPr>
        <w:t xml:space="preserve">Общества проводит </w:t>
      </w:r>
      <w:r w:rsidR="00D1532E">
        <w:rPr>
          <w:lang w:eastAsia="ru-RU"/>
        </w:rPr>
        <w:t>годовое</w:t>
      </w:r>
      <w:r w:rsidRPr="00111F3D">
        <w:rPr>
          <w:lang w:eastAsia="ru-RU"/>
        </w:rPr>
        <w:t xml:space="preserve"> общее собрание акционеров (далее - Собрание), которое состоится </w:t>
      </w:r>
      <w:r w:rsidR="00D1532E">
        <w:rPr>
          <w:b/>
          <w:bCs/>
          <w:lang w:eastAsia="ru-RU"/>
        </w:rPr>
        <w:t>2</w:t>
      </w:r>
      <w:r w:rsidRPr="00111F3D">
        <w:rPr>
          <w:b/>
          <w:bCs/>
          <w:lang w:eastAsia="ru-RU"/>
        </w:rPr>
        <w:t xml:space="preserve">7 </w:t>
      </w:r>
      <w:r w:rsidR="00D1532E">
        <w:rPr>
          <w:b/>
          <w:bCs/>
          <w:lang w:eastAsia="ru-RU"/>
        </w:rPr>
        <w:t xml:space="preserve">июня </w:t>
      </w:r>
      <w:r w:rsidRPr="00111F3D">
        <w:rPr>
          <w:b/>
          <w:bCs/>
          <w:lang w:eastAsia="ru-RU"/>
        </w:rPr>
        <w:t>2019 года.</w:t>
      </w:r>
    </w:p>
    <w:p w:rsidR="00EB3663" w:rsidRPr="00111F3D" w:rsidRDefault="00EB3663" w:rsidP="00D1532E">
      <w:pPr>
        <w:ind w:firstLine="426"/>
        <w:jc w:val="both"/>
      </w:pPr>
      <w:r w:rsidRPr="00111F3D">
        <w:t>Форма проведения собрания: совместное присутствие акционеров при обсуждении вопросов повестки дня и принятии решений по вопросам, поставленным на голосование, с предварит</w:t>
      </w:r>
      <w:r w:rsidR="00E96FE3">
        <w:t xml:space="preserve">ельным направлением </w:t>
      </w:r>
      <w:r w:rsidRPr="00111F3D">
        <w:t xml:space="preserve">бюллетеней для голосования до проведения </w:t>
      </w:r>
      <w:r w:rsidR="00D1532E">
        <w:t>годового</w:t>
      </w:r>
      <w:r w:rsidRPr="00111F3D">
        <w:t xml:space="preserve"> общего собрания акционеров.  </w:t>
      </w:r>
    </w:p>
    <w:p w:rsidR="00EB3663" w:rsidRPr="00111F3D" w:rsidRDefault="00EB3663" w:rsidP="00F37824">
      <w:pPr>
        <w:rPr>
          <w:b/>
          <w:bCs/>
        </w:rPr>
      </w:pPr>
    </w:p>
    <w:p w:rsidR="00D1532E" w:rsidRPr="00D1532E" w:rsidRDefault="00D1532E" w:rsidP="00D1532E">
      <w:pPr>
        <w:pStyle w:val="a5"/>
        <w:overflowPunct/>
        <w:autoSpaceDE/>
        <w:autoSpaceDN/>
        <w:adjustRightInd/>
        <w:ind w:firstLine="426"/>
        <w:jc w:val="both"/>
        <w:textAlignment w:val="auto"/>
        <w:rPr>
          <w:b/>
          <w:bCs/>
        </w:rPr>
      </w:pPr>
      <w:r w:rsidRPr="00D1532E">
        <w:t>Место проведения годового общего собрания:</w:t>
      </w:r>
      <w:r w:rsidRPr="00D1532E">
        <w:rPr>
          <w:b/>
          <w:bCs/>
        </w:rPr>
        <w:t xml:space="preserve"> г. Санкт-Петербург, Каменноостровский пр.</w:t>
      </w:r>
      <w:r w:rsidR="00890C0E" w:rsidRPr="00D1532E">
        <w:rPr>
          <w:b/>
          <w:bCs/>
        </w:rPr>
        <w:t>, 15</w:t>
      </w:r>
      <w:r w:rsidRPr="00D1532E">
        <w:rPr>
          <w:b/>
          <w:bCs/>
        </w:rPr>
        <w:t>.</w:t>
      </w:r>
    </w:p>
    <w:p w:rsidR="00D1532E" w:rsidRPr="00D1532E" w:rsidRDefault="00D1532E" w:rsidP="00D1532E">
      <w:pPr>
        <w:pStyle w:val="a5"/>
        <w:overflowPunct/>
        <w:autoSpaceDE/>
        <w:autoSpaceDN/>
        <w:adjustRightInd/>
        <w:ind w:firstLine="426"/>
        <w:jc w:val="both"/>
        <w:textAlignment w:val="auto"/>
        <w:rPr>
          <w:b/>
          <w:bCs/>
        </w:rPr>
      </w:pPr>
      <w:r w:rsidRPr="00D1532E">
        <w:t xml:space="preserve">Время проведения годового общего собрания: </w:t>
      </w:r>
      <w:r w:rsidRPr="00D1532E">
        <w:rPr>
          <w:b/>
          <w:bCs/>
        </w:rPr>
        <w:t>10 часов 30 минут.</w:t>
      </w:r>
    </w:p>
    <w:p w:rsidR="00D1532E" w:rsidRPr="00D1532E" w:rsidRDefault="00D1532E" w:rsidP="00D1532E">
      <w:pPr>
        <w:pStyle w:val="a5"/>
        <w:overflowPunct/>
        <w:autoSpaceDE/>
        <w:autoSpaceDN/>
        <w:adjustRightInd/>
        <w:ind w:firstLine="426"/>
        <w:jc w:val="both"/>
        <w:textAlignment w:val="auto"/>
        <w:rPr>
          <w:b/>
          <w:bCs/>
        </w:rPr>
      </w:pPr>
      <w:r w:rsidRPr="00D1532E">
        <w:t xml:space="preserve">Время начала регистрации лиц, </w:t>
      </w:r>
      <w:r w:rsidR="00890C0E" w:rsidRPr="00D1532E">
        <w:t>участвующих в</w:t>
      </w:r>
      <w:r w:rsidRPr="00D1532E">
        <w:t xml:space="preserve"> собрании: </w:t>
      </w:r>
      <w:r w:rsidRPr="00D1532E">
        <w:rPr>
          <w:b/>
          <w:bCs/>
        </w:rPr>
        <w:t>10 часов 00 минут.</w:t>
      </w:r>
    </w:p>
    <w:p w:rsidR="00D1532E" w:rsidRPr="00D1532E" w:rsidRDefault="00D1532E" w:rsidP="00D1532E">
      <w:pPr>
        <w:pStyle w:val="a5"/>
        <w:overflowPunct/>
        <w:autoSpaceDE/>
        <w:autoSpaceDN/>
        <w:adjustRightInd/>
        <w:ind w:firstLine="426"/>
        <w:jc w:val="both"/>
        <w:textAlignment w:val="auto"/>
        <w:rPr>
          <w:b/>
          <w:bCs/>
        </w:rPr>
      </w:pPr>
      <w:r w:rsidRPr="00D1532E">
        <w:t xml:space="preserve">Дата, на которую определяются (фиксируются) лица, имеющие право на </w:t>
      </w:r>
      <w:r w:rsidR="00890C0E" w:rsidRPr="00D1532E">
        <w:t>участие в</w:t>
      </w:r>
      <w:r w:rsidRPr="00D1532E">
        <w:t xml:space="preserve"> общем собрании акционеров </w:t>
      </w:r>
      <w:r w:rsidRPr="00D1532E">
        <w:rPr>
          <w:b/>
          <w:bCs/>
        </w:rPr>
        <w:t xml:space="preserve">– </w:t>
      </w:r>
      <w:r w:rsidR="00DC2EBE">
        <w:rPr>
          <w:b/>
          <w:bCs/>
        </w:rPr>
        <w:t xml:space="preserve"> </w:t>
      </w:r>
      <w:r w:rsidRPr="00D1532E">
        <w:rPr>
          <w:b/>
          <w:bCs/>
        </w:rPr>
        <w:t xml:space="preserve">03 </w:t>
      </w:r>
      <w:r w:rsidR="00B62E79">
        <w:rPr>
          <w:b/>
          <w:bCs/>
        </w:rPr>
        <w:t>июня</w:t>
      </w:r>
      <w:r w:rsidRPr="00D1532E">
        <w:rPr>
          <w:b/>
          <w:bCs/>
        </w:rPr>
        <w:t xml:space="preserve"> 201</w:t>
      </w:r>
      <w:r w:rsidR="00B62E79">
        <w:rPr>
          <w:b/>
          <w:bCs/>
        </w:rPr>
        <w:t>9</w:t>
      </w:r>
      <w:r w:rsidRPr="00D1532E">
        <w:rPr>
          <w:b/>
          <w:bCs/>
        </w:rPr>
        <w:t xml:space="preserve"> г.</w:t>
      </w:r>
    </w:p>
    <w:p w:rsidR="00D1532E" w:rsidRPr="00D1532E" w:rsidRDefault="00D1532E" w:rsidP="00D1532E">
      <w:pPr>
        <w:pStyle w:val="a5"/>
        <w:overflowPunct/>
        <w:autoSpaceDE/>
        <w:autoSpaceDN/>
        <w:adjustRightInd/>
        <w:ind w:firstLine="426"/>
        <w:jc w:val="both"/>
        <w:textAlignment w:val="auto"/>
        <w:rPr>
          <w:b/>
          <w:bCs/>
        </w:rPr>
      </w:pPr>
      <w:r w:rsidRPr="00D1532E">
        <w:t xml:space="preserve">Почтовый адрес, по которому могут направляться заполненные бюллетени - </w:t>
      </w:r>
      <w:r w:rsidRPr="00D1532E">
        <w:rPr>
          <w:b/>
          <w:bCs/>
        </w:rPr>
        <w:t xml:space="preserve">197101, г. Санкт-Петербург, Каменноостровский пр., д. 15, </w:t>
      </w:r>
      <w:proofErr w:type="spellStart"/>
      <w:r w:rsidRPr="00D1532E">
        <w:rPr>
          <w:b/>
          <w:bCs/>
        </w:rPr>
        <w:t>ПАО</w:t>
      </w:r>
      <w:proofErr w:type="spellEnd"/>
      <w:r w:rsidRPr="00D1532E">
        <w:rPr>
          <w:b/>
          <w:bCs/>
        </w:rPr>
        <w:t xml:space="preserve"> «Гипрометиз».</w:t>
      </w:r>
    </w:p>
    <w:p w:rsidR="00D1532E" w:rsidRPr="00D1532E" w:rsidRDefault="00D1532E" w:rsidP="00D1532E">
      <w:pPr>
        <w:pStyle w:val="a5"/>
        <w:overflowPunct/>
        <w:autoSpaceDE/>
        <w:autoSpaceDN/>
        <w:adjustRightInd/>
        <w:ind w:firstLine="426"/>
        <w:jc w:val="both"/>
        <w:textAlignment w:val="auto"/>
      </w:pPr>
      <w:r w:rsidRPr="00D1532E"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D1532E">
        <w:rPr>
          <w:b/>
          <w:bCs/>
        </w:rPr>
        <w:t>акции обыкновенные именные бездокументарные, государственный регистрационный номер – 1-01-01154-</w:t>
      </w:r>
      <w:r w:rsidRPr="00D1532E">
        <w:rPr>
          <w:b/>
          <w:bCs/>
          <w:lang w:val="en-US"/>
        </w:rPr>
        <w:t>D</w:t>
      </w:r>
      <w:r w:rsidRPr="00D1532E">
        <w:rPr>
          <w:b/>
          <w:bCs/>
        </w:rPr>
        <w:t>, дата государственной регистрации – 16.02.1993</w:t>
      </w:r>
      <w:r w:rsidRPr="00D1532E">
        <w:t>.</w:t>
      </w:r>
    </w:p>
    <w:p w:rsidR="00EB3663" w:rsidRPr="005120A5" w:rsidRDefault="00EB3663" w:rsidP="002D13CB">
      <w:pPr>
        <w:jc w:val="both"/>
      </w:pPr>
    </w:p>
    <w:p w:rsidR="00EB3663" w:rsidRPr="002C55CB" w:rsidRDefault="00EB3663" w:rsidP="002C55CB">
      <w:pPr>
        <w:pStyle w:val="1"/>
        <w:ind w:right="1"/>
        <w:jc w:val="center"/>
        <w:rPr>
          <w:rFonts w:ascii="Times New Roman" w:hAnsi="Times New Roman" w:cs="Times New Roman"/>
          <w:b/>
          <w:bCs/>
          <w:u w:val="single"/>
        </w:rPr>
      </w:pPr>
      <w:r w:rsidRPr="005120A5">
        <w:rPr>
          <w:rFonts w:ascii="Times New Roman" w:hAnsi="Times New Roman" w:cs="Times New Roman"/>
          <w:b/>
          <w:bCs/>
          <w:u w:val="single"/>
        </w:rPr>
        <w:t xml:space="preserve">Повестка дня </w:t>
      </w:r>
      <w:r w:rsidR="00B62E79">
        <w:rPr>
          <w:rFonts w:ascii="Times New Roman" w:hAnsi="Times New Roman" w:cs="Times New Roman"/>
          <w:b/>
          <w:bCs/>
          <w:u w:val="single"/>
        </w:rPr>
        <w:t>годового</w:t>
      </w:r>
      <w:r w:rsidRPr="005120A5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общего собрания акционеров</w:t>
      </w:r>
    </w:p>
    <w:p w:rsidR="00A6755D" w:rsidRPr="00A6755D" w:rsidRDefault="00A6755D" w:rsidP="00A6755D">
      <w:pPr>
        <w:pStyle w:val="a6"/>
        <w:spacing w:before="120"/>
        <w:ind w:left="720" w:hanging="720"/>
        <w:rPr>
          <w:b/>
          <w:bCs/>
          <w:sz w:val="20"/>
          <w:szCs w:val="20"/>
        </w:rPr>
      </w:pPr>
      <w:r w:rsidRPr="00A6755D">
        <w:rPr>
          <w:b/>
          <w:bCs/>
          <w:sz w:val="20"/>
          <w:szCs w:val="20"/>
        </w:rPr>
        <w:tab/>
        <w:t>1. Утверждение годового отчета, годовой бухгалтерской (финансовой) отчетности Общества по итогам 2018 г.</w:t>
      </w:r>
    </w:p>
    <w:p w:rsidR="00A6755D" w:rsidRPr="00A6755D" w:rsidRDefault="00A6755D" w:rsidP="00A6755D">
      <w:pPr>
        <w:pStyle w:val="a6"/>
        <w:ind w:left="720" w:hanging="720"/>
        <w:rPr>
          <w:b/>
          <w:bCs/>
          <w:sz w:val="20"/>
          <w:szCs w:val="20"/>
        </w:rPr>
      </w:pPr>
      <w:r w:rsidRPr="00A6755D">
        <w:rPr>
          <w:b/>
          <w:bCs/>
          <w:sz w:val="20"/>
          <w:szCs w:val="20"/>
        </w:rPr>
        <w:tab/>
        <w:t>2. Распределение прибыли (в том числе выплата (объявление) дивидендов) и убытков Общества по результатам 2018 отчетного года.</w:t>
      </w:r>
    </w:p>
    <w:p w:rsidR="00A6755D" w:rsidRPr="00A6755D" w:rsidRDefault="00A6755D" w:rsidP="00A6755D">
      <w:pPr>
        <w:pStyle w:val="a8"/>
        <w:widowControl/>
        <w:ind w:left="705" w:right="50"/>
        <w:jc w:val="both"/>
        <w:rPr>
          <w:rFonts w:ascii="Times New Roman" w:hAnsi="Times New Roman" w:cs="Times New Roman"/>
          <w:b/>
          <w:bCs/>
        </w:rPr>
      </w:pPr>
      <w:r w:rsidRPr="00A6755D">
        <w:rPr>
          <w:rFonts w:ascii="Times New Roman" w:hAnsi="Times New Roman" w:cs="Times New Roman"/>
          <w:b/>
          <w:bCs/>
        </w:rPr>
        <w:t xml:space="preserve">3. Избрание членов </w:t>
      </w:r>
      <w:bookmarkStart w:id="0" w:name="_GoBack"/>
      <w:bookmarkEnd w:id="0"/>
      <w:r w:rsidR="00890C0E" w:rsidRPr="00A6755D">
        <w:rPr>
          <w:rFonts w:ascii="Times New Roman" w:hAnsi="Times New Roman" w:cs="Times New Roman"/>
          <w:b/>
          <w:bCs/>
        </w:rPr>
        <w:t>Совета директоров</w:t>
      </w:r>
      <w:r w:rsidRPr="00A6755D">
        <w:rPr>
          <w:rFonts w:ascii="Times New Roman" w:hAnsi="Times New Roman" w:cs="Times New Roman"/>
          <w:b/>
          <w:bCs/>
        </w:rPr>
        <w:t xml:space="preserve"> Общества.</w:t>
      </w:r>
    </w:p>
    <w:p w:rsidR="00A6755D" w:rsidRPr="00A6755D" w:rsidRDefault="00A6755D" w:rsidP="00A6755D">
      <w:pPr>
        <w:pStyle w:val="a8"/>
        <w:widowControl/>
        <w:ind w:left="705" w:right="50"/>
        <w:jc w:val="both"/>
        <w:rPr>
          <w:rFonts w:ascii="Times New Roman" w:hAnsi="Times New Roman" w:cs="Times New Roman"/>
          <w:b/>
          <w:bCs/>
        </w:rPr>
      </w:pPr>
      <w:r w:rsidRPr="00A6755D">
        <w:rPr>
          <w:rFonts w:ascii="Times New Roman" w:hAnsi="Times New Roman" w:cs="Times New Roman"/>
          <w:b/>
          <w:bCs/>
        </w:rPr>
        <w:tab/>
        <w:t>4. Избрание членов Ревизионной комиссии Общества.</w:t>
      </w:r>
    </w:p>
    <w:p w:rsidR="00A6755D" w:rsidRPr="00A6755D" w:rsidRDefault="00A6755D" w:rsidP="00A6755D">
      <w:pPr>
        <w:ind w:right="-940" w:firstLine="708"/>
        <w:rPr>
          <w:b/>
          <w:bCs/>
        </w:rPr>
      </w:pPr>
      <w:r w:rsidRPr="00A6755D">
        <w:rPr>
          <w:b/>
          <w:bCs/>
        </w:rPr>
        <w:t>5. Утверждение аудитора Общества.</w:t>
      </w:r>
    </w:p>
    <w:p w:rsidR="00A6755D" w:rsidRPr="00A6755D" w:rsidRDefault="00A6755D" w:rsidP="00A6755D">
      <w:pPr>
        <w:ind w:right="-940" w:firstLine="708"/>
        <w:rPr>
          <w:b/>
          <w:bCs/>
        </w:rPr>
      </w:pPr>
      <w:r w:rsidRPr="00A6755D">
        <w:rPr>
          <w:b/>
          <w:bCs/>
        </w:rPr>
        <w:t xml:space="preserve">6. О внесении изменений и дополнений в Устав </w:t>
      </w:r>
      <w:proofErr w:type="spellStart"/>
      <w:r w:rsidRPr="00A6755D">
        <w:rPr>
          <w:b/>
          <w:bCs/>
        </w:rPr>
        <w:t>ПАО</w:t>
      </w:r>
      <w:proofErr w:type="spellEnd"/>
      <w:r w:rsidRPr="00A6755D">
        <w:rPr>
          <w:b/>
          <w:bCs/>
        </w:rPr>
        <w:t xml:space="preserve"> «Гипрометиз».</w:t>
      </w:r>
    </w:p>
    <w:p w:rsidR="00A6755D" w:rsidRPr="00A6755D" w:rsidRDefault="00A6755D" w:rsidP="00A6755D">
      <w:pPr>
        <w:ind w:left="709"/>
        <w:jc w:val="both"/>
        <w:rPr>
          <w:b/>
          <w:bCs/>
          <w:snapToGrid w:val="0"/>
        </w:rPr>
      </w:pPr>
      <w:r w:rsidRPr="00A6755D">
        <w:rPr>
          <w:b/>
          <w:bCs/>
        </w:rPr>
        <w:t xml:space="preserve">7. О внесении в Устав </w:t>
      </w:r>
      <w:proofErr w:type="spellStart"/>
      <w:r w:rsidRPr="00A6755D">
        <w:rPr>
          <w:b/>
          <w:bCs/>
        </w:rPr>
        <w:t>ПАО</w:t>
      </w:r>
      <w:proofErr w:type="spellEnd"/>
      <w:r w:rsidRPr="00A6755D">
        <w:rPr>
          <w:b/>
          <w:bCs/>
        </w:rPr>
        <w:t xml:space="preserve"> «Гипрометиз» изменений, исключающих указание на то, что Общество является публичным и об обращении </w:t>
      </w:r>
      <w:proofErr w:type="spellStart"/>
      <w:r w:rsidRPr="00A6755D">
        <w:rPr>
          <w:b/>
          <w:bCs/>
        </w:rPr>
        <w:t>ПАО</w:t>
      </w:r>
      <w:proofErr w:type="spellEnd"/>
      <w:r w:rsidRPr="00A6755D">
        <w:rPr>
          <w:b/>
          <w:bCs/>
        </w:rPr>
        <w:t xml:space="preserve"> «Гипрометиз» в Банк России с </w:t>
      </w:r>
      <w:hyperlink r:id="rId5" w:history="1">
        <w:r w:rsidRPr="00A6755D">
          <w:rPr>
            <w:b/>
            <w:bCs/>
          </w:rPr>
          <w:t>заявлением</w:t>
        </w:r>
      </w:hyperlink>
      <w:r w:rsidRPr="00A6755D">
        <w:rPr>
          <w:b/>
          <w:bCs/>
        </w:rPr>
        <w:t xml:space="preserve"> об освобождении его от обязанности раскрывать информацию, предусмотренную законодательством Российской Федерации о ценных бумагах.</w:t>
      </w:r>
    </w:p>
    <w:p w:rsidR="00EB3663" w:rsidRPr="00F73DB9" w:rsidRDefault="00EB3663" w:rsidP="00A6755D">
      <w:pPr>
        <w:pStyle w:val="ConsPlusNormal"/>
        <w:ind w:firstLine="540"/>
        <w:jc w:val="both"/>
        <w:rPr>
          <w:b w:val="0"/>
          <w:bCs w:val="0"/>
          <w:sz w:val="20"/>
          <w:szCs w:val="20"/>
        </w:rPr>
      </w:pPr>
    </w:p>
    <w:p w:rsidR="006C05B9" w:rsidRPr="006C05B9" w:rsidRDefault="006C05B9" w:rsidP="006C05B9">
      <w:pPr>
        <w:pStyle w:val="a5"/>
        <w:overflowPunct/>
        <w:autoSpaceDE/>
        <w:autoSpaceDN/>
        <w:adjustRightInd/>
        <w:ind w:firstLine="708"/>
        <w:jc w:val="both"/>
        <w:textAlignment w:val="auto"/>
      </w:pPr>
      <w:r w:rsidRPr="006C05B9">
        <w:t>Со всей информацией (материалами), подлежащей предоставлению лицам, имеющим право на участие в годовом общем собрании акционеров, при подготовке к проведению общего собрания акционеров, в соответствии с требованиями ст. 52 ФЗ «Об акционерных обществах» можно ознакомиться  в течение 20-</w:t>
      </w:r>
      <w:proofErr w:type="spellStart"/>
      <w:r w:rsidRPr="006C05B9">
        <w:t>ти</w:t>
      </w:r>
      <w:proofErr w:type="spellEnd"/>
      <w:r w:rsidRPr="006C05B9">
        <w:t xml:space="preserve"> дней до даты проведения собрания в рабочие дни с 14.00 час. до 16.00 час. по адресу: 197101, г. Санкт-Петербург, Каменноостровский проспект, 15, приемная генерального директора Общества, справочный телефон: (812) 237-08-81, а также в день проведения годового общего собрания акционеров.</w:t>
      </w:r>
    </w:p>
    <w:p w:rsidR="00EB3663" w:rsidRDefault="00EB3663" w:rsidP="002D13CB">
      <w:pPr>
        <w:suppressAutoHyphens w:val="0"/>
        <w:autoSpaceDE w:val="0"/>
        <w:autoSpaceDN w:val="0"/>
        <w:adjustRightInd w:val="0"/>
        <w:jc w:val="both"/>
        <w:outlineLvl w:val="1"/>
      </w:pPr>
    </w:p>
    <w:p w:rsidR="00EB3663" w:rsidRPr="00DD31E8" w:rsidRDefault="00EB3663" w:rsidP="00B62E7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ru-RU"/>
        </w:rPr>
      </w:pPr>
      <w:r w:rsidRPr="00DD31E8">
        <w:t>Акционеры — владельцы голосующих акций вправе требовать выкупа Обществом всех или части принадлежащих им акций, в случае п</w:t>
      </w:r>
      <w:r w:rsidRPr="00DD31E8">
        <w:rPr>
          <w:lang w:eastAsia="ru-RU"/>
        </w:rPr>
        <w:t>ринятия общим собранием акционеров решения</w:t>
      </w:r>
      <w:r w:rsidR="00DD31E8" w:rsidRPr="00DD31E8">
        <w:t xml:space="preserve"> о внесении в Устав </w:t>
      </w:r>
      <w:r w:rsidR="00DD31E8" w:rsidRPr="00DD31E8">
        <w:br/>
      </w:r>
      <w:proofErr w:type="spellStart"/>
      <w:r w:rsidR="00DD31E8" w:rsidRPr="00DD31E8">
        <w:t>ПАО</w:t>
      </w:r>
      <w:proofErr w:type="spellEnd"/>
      <w:r w:rsidR="00DD31E8" w:rsidRPr="00DD31E8">
        <w:t xml:space="preserve"> «Гипрометиз» изменений, исключающих указание на то, что Общество является публичным и об обращении </w:t>
      </w:r>
      <w:proofErr w:type="spellStart"/>
      <w:r w:rsidR="00DD31E8" w:rsidRPr="00DD31E8">
        <w:t>ПАО</w:t>
      </w:r>
      <w:proofErr w:type="spellEnd"/>
      <w:r w:rsidR="00DD31E8" w:rsidRPr="00DD31E8">
        <w:t xml:space="preserve"> «Гипрометиз» в Банк России с </w:t>
      </w:r>
      <w:hyperlink r:id="rId6" w:history="1">
        <w:r w:rsidR="00DD31E8" w:rsidRPr="00DD31E8">
          <w:t>заявлением</w:t>
        </w:r>
      </w:hyperlink>
      <w:r w:rsidR="00DD31E8" w:rsidRPr="00DD31E8">
        <w:t xml:space="preserve"> об освобождении его от обязанности раскрывать информацию, предусмотренную законодательством Российской Федерации о ценных бумагах</w:t>
      </w:r>
      <w:r w:rsidRPr="00DD31E8">
        <w:rPr>
          <w:lang w:eastAsia="ru-RU"/>
        </w:rPr>
        <w:t>, если они голосовали против решения либо не принима</w:t>
      </w:r>
      <w:r w:rsidR="00E96FE3">
        <w:rPr>
          <w:lang w:eastAsia="ru-RU"/>
        </w:rPr>
        <w:t>ли участия в голосовании по этому</w:t>
      </w:r>
      <w:r w:rsidRPr="00DD31E8">
        <w:rPr>
          <w:lang w:eastAsia="ru-RU"/>
        </w:rPr>
        <w:t xml:space="preserve"> вопрос</w:t>
      </w:r>
      <w:r w:rsidR="00E96FE3">
        <w:rPr>
          <w:lang w:eastAsia="ru-RU"/>
        </w:rPr>
        <w:t>у</w:t>
      </w:r>
      <w:r w:rsidRPr="00DD31E8">
        <w:rPr>
          <w:lang w:eastAsia="ru-RU"/>
        </w:rPr>
        <w:t>.</w:t>
      </w:r>
    </w:p>
    <w:p w:rsidR="00DD31E8" w:rsidRPr="005120A5" w:rsidRDefault="00DD31E8" w:rsidP="00B62E79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lang w:eastAsia="ru-RU"/>
        </w:rPr>
      </w:pPr>
    </w:p>
    <w:p w:rsidR="00EB3663" w:rsidRDefault="00EB3663" w:rsidP="004F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F1BF8">
        <w:t>Цена выкупа акций Общества определена Советом директоров Общества по рыночной стоимости, определенной независимым оценщиком</w:t>
      </w:r>
      <w:r w:rsidR="00852681">
        <w:t xml:space="preserve">, </w:t>
      </w:r>
      <w:r w:rsidR="009A162C" w:rsidRPr="004F1BF8">
        <w:t xml:space="preserve">- </w:t>
      </w:r>
      <w:r w:rsidR="004F1BF8" w:rsidRPr="004F1BF8">
        <w:t>ООО «Центр оценки «Петербургская Недвижимость»</w:t>
      </w:r>
      <w:r w:rsidR="004F1BF8">
        <w:t xml:space="preserve"> (</w:t>
      </w:r>
      <w:proofErr w:type="gramStart"/>
      <w:r w:rsidR="004F1BF8" w:rsidRPr="004F1BF8">
        <w:t>О</w:t>
      </w:r>
      <w:r w:rsidR="004F1BF8">
        <w:t xml:space="preserve">тчет </w:t>
      </w:r>
      <w:r w:rsidR="004F1BF8" w:rsidRPr="004F1BF8">
        <w:t xml:space="preserve"> от</w:t>
      </w:r>
      <w:proofErr w:type="gramEnd"/>
      <w:r w:rsidR="004F1BF8" w:rsidRPr="004F1BF8">
        <w:t xml:space="preserve"> 17.05.2019  № 01/19/2541-</w:t>
      </w:r>
      <w:proofErr w:type="spellStart"/>
      <w:r w:rsidR="004F1BF8" w:rsidRPr="004F1BF8">
        <w:t>ТШ</w:t>
      </w:r>
      <w:proofErr w:type="spellEnd"/>
      <w:r w:rsidR="004F1BF8">
        <w:t>)</w:t>
      </w:r>
    </w:p>
    <w:p w:rsidR="00EB3663" w:rsidRPr="00F273F9" w:rsidRDefault="00DD31E8" w:rsidP="00F2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i/>
          <w:iCs/>
        </w:rPr>
        <w:t xml:space="preserve">- 17482 </w:t>
      </w:r>
      <w:r w:rsidRPr="00DD31E8">
        <w:rPr>
          <w:b/>
          <w:bCs/>
          <w:i/>
          <w:iCs/>
        </w:rPr>
        <w:t>(Семнадцать тысяч четыреста восемьдесят два) руб. 52 коп.</w:t>
      </w:r>
      <w:r>
        <w:t xml:space="preserve"> </w:t>
      </w:r>
      <w:r w:rsidR="00EB3663" w:rsidRPr="00F273F9">
        <w:t xml:space="preserve">за </w:t>
      </w:r>
      <w:r>
        <w:t>одну обыкновенную</w:t>
      </w:r>
      <w:r w:rsidR="00852681">
        <w:t xml:space="preserve"> именную</w:t>
      </w:r>
      <w:r>
        <w:t xml:space="preserve"> акцию </w:t>
      </w:r>
      <w:r>
        <w:br/>
      </w:r>
      <w:proofErr w:type="spellStart"/>
      <w:r>
        <w:t>ПАО</w:t>
      </w:r>
      <w:proofErr w:type="spellEnd"/>
      <w:r>
        <w:t xml:space="preserve"> «Гипрометиз</w:t>
      </w:r>
      <w:r w:rsidR="00EB3663" w:rsidRPr="00F273F9">
        <w:t>».</w:t>
      </w:r>
    </w:p>
    <w:p w:rsidR="00EB3663" w:rsidRDefault="00EB3663" w:rsidP="00156515">
      <w:pPr>
        <w:jc w:val="both"/>
        <w:rPr>
          <w:lang w:eastAsia="ru-RU"/>
        </w:rPr>
      </w:pPr>
    </w:p>
    <w:p w:rsidR="00EB3663" w:rsidRPr="005120A5" w:rsidRDefault="00EB3663" w:rsidP="00B62E79">
      <w:pPr>
        <w:ind w:firstLine="567"/>
        <w:jc w:val="both"/>
        <w:rPr>
          <w:lang w:eastAsia="ru-RU"/>
        </w:rPr>
      </w:pPr>
      <w:r w:rsidRPr="005120A5">
        <w:rPr>
          <w:lang w:eastAsia="ru-RU"/>
        </w:rPr>
        <w:t>Выкуп акций производится на основании требований акционеров, отвечающим требованиям ст. 76 ФЗ «Об акционерных обществах».</w:t>
      </w:r>
    </w:p>
    <w:p w:rsidR="004F1BF8" w:rsidRDefault="004F1BF8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</w:p>
    <w:p w:rsidR="00EB3663" w:rsidRPr="005120A5" w:rsidRDefault="00EB3663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lastRenderedPageBreak/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Pr="005120A5">
        <w:rPr>
          <w:b/>
          <w:bCs/>
          <w:lang w:eastAsia="ru-RU"/>
        </w:rPr>
        <w:t>регистратору Общества - АО «Новый регистратор</w:t>
      </w:r>
      <w:r w:rsidRPr="005D0E35">
        <w:rPr>
          <w:b/>
          <w:bCs/>
          <w:lang w:eastAsia="ru-RU"/>
        </w:rPr>
        <w:t>»</w:t>
      </w:r>
      <w:r w:rsidR="00BF2C44">
        <w:rPr>
          <w:b/>
          <w:bCs/>
          <w:lang w:eastAsia="ru-RU"/>
        </w:rPr>
        <w:t xml:space="preserve">, </w:t>
      </w:r>
      <w:proofErr w:type="spellStart"/>
      <w:r w:rsidR="00BF2C44">
        <w:rPr>
          <w:b/>
          <w:bCs/>
          <w:lang w:eastAsia="ru-RU"/>
        </w:rPr>
        <w:t>ОГРН</w:t>
      </w:r>
      <w:proofErr w:type="spellEnd"/>
      <w:r w:rsidR="00BF2C44">
        <w:rPr>
          <w:b/>
          <w:bCs/>
          <w:lang w:eastAsia="ru-RU"/>
        </w:rPr>
        <w:t xml:space="preserve"> 1037719000384 </w:t>
      </w:r>
      <w:r w:rsidRPr="005D0E35">
        <w:rPr>
          <w:b/>
          <w:bCs/>
          <w:lang w:eastAsia="ru-RU"/>
        </w:rPr>
        <w:t xml:space="preserve"> </w:t>
      </w:r>
      <w:r w:rsidRPr="005D0E35">
        <w:rPr>
          <w:lang w:eastAsia="ru-RU"/>
        </w:rPr>
        <w:t>путем направления по почте</w:t>
      </w:r>
      <w:r w:rsidR="00282C3F">
        <w:rPr>
          <w:lang w:eastAsia="ru-RU"/>
        </w:rPr>
        <w:t xml:space="preserve"> по одному из указанных почтовых адресов: 192012, г. Санкт-Петербург, ул. Бабушкина, д. 123, Санкт-Петербургский филиал АО «Новый регистратор»; </w:t>
      </w:r>
      <w:r w:rsidR="00FF4370">
        <w:rPr>
          <w:lang w:eastAsia="ru-RU"/>
        </w:rPr>
        <w:t xml:space="preserve">625019, г. Тюмень, ул. Республики, д. </w:t>
      </w:r>
      <w:proofErr w:type="spellStart"/>
      <w:r w:rsidR="00FF4370">
        <w:rPr>
          <w:lang w:eastAsia="ru-RU"/>
        </w:rPr>
        <w:t>211а</w:t>
      </w:r>
      <w:proofErr w:type="spellEnd"/>
      <w:r w:rsidR="00FF4370">
        <w:rPr>
          <w:lang w:eastAsia="ru-RU"/>
        </w:rPr>
        <w:t xml:space="preserve">, Тюменский филиал АО «Новый </w:t>
      </w:r>
      <w:proofErr w:type="spellStart"/>
      <w:r w:rsidR="00FF4370">
        <w:rPr>
          <w:lang w:eastAsia="ru-RU"/>
        </w:rPr>
        <w:t>ргеистратор</w:t>
      </w:r>
      <w:proofErr w:type="spellEnd"/>
      <w:r w:rsidR="00FF4370">
        <w:rPr>
          <w:lang w:eastAsia="ru-RU"/>
        </w:rPr>
        <w:t>»,</w:t>
      </w:r>
      <w:r w:rsidRPr="005D0E35">
        <w:rPr>
          <w:lang w:eastAsia="ru-RU"/>
        </w:rPr>
        <w:t xml:space="preserve"> либо вручения под роспись документа в письменной</w:t>
      </w:r>
      <w:r w:rsidRPr="005120A5">
        <w:rPr>
          <w:lang w:eastAsia="ru-RU"/>
        </w:rPr>
        <w:t xml:space="preserve">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</w:t>
      </w:r>
      <w:r w:rsidR="00FF4370">
        <w:rPr>
          <w:lang w:eastAsia="ru-RU"/>
        </w:rPr>
        <w:t xml:space="preserve">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подписью. В этом случае электронный документ, подписанный простой или неквалифицированной электронной подписью, признается равнозначным документу на бумажном носителе, подписанному собственноручной подписью. </w:t>
      </w:r>
      <w:r w:rsidRPr="005120A5">
        <w:rPr>
          <w:lang w:eastAsia="ru-RU"/>
        </w:rPr>
        <w:t xml:space="preserve">В требовании должны содержаться сведения, позволяющие </w:t>
      </w:r>
      <w:r w:rsidRPr="005120A5">
        <w:rPr>
          <w:b/>
          <w:bCs/>
          <w:lang w:eastAsia="ru-RU"/>
        </w:rPr>
        <w:t>идентифицировать</w:t>
      </w:r>
      <w:r w:rsidRPr="005120A5">
        <w:rPr>
          <w:lang w:eastAsia="ru-RU"/>
        </w:rPr>
        <w:t xml:space="preserve"> предъявившего его акционера, а также </w:t>
      </w:r>
      <w:r w:rsidRPr="005120A5">
        <w:rPr>
          <w:b/>
          <w:bCs/>
          <w:lang w:eastAsia="ru-RU"/>
        </w:rPr>
        <w:t>количество акций</w:t>
      </w:r>
      <w:r w:rsidRPr="005120A5">
        <w:rPr>
          <w:lang w:eastAsia="ru-RU"/>
        </w:rPr>
        <w:t>, выкупа которых он требует.</w:t>
      </w:r>
    </w:p>
    <w:p w:rsidR="00EB3663" w:rsidRPr="005120A5" w:rsidRDefault="00EB3663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645DDE" w:rsidRPr="00BF2C44" w:rsidRDefault="00EB3663" w:rsidP="00645DD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F2C44">
        <w:rPr>
          <w:lang w:eastAsia="ru-RU"/>
        </w:rPr>
        <w:t xml:space="preserve"> </w:t>
      </w:r>
      <w:r w:rsidR="00645DDE" w:rsidRPr="00BF2C44">
        <w:rPr>
          <w:lang w:eastAsia="ru-RU"/>
        </w:rPr>
        <w:tab/>
      </w:r>
      <w:r w:rsidRPr="00BF2C44">
        <w:rPr>
          <w:lang w:eastAsia="ru-RU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</w:t>
      </w:r>
      <w:r w:rsidR="00645DDE" w:rsidRPr="00BF2C44">
        <w:rPr>
          <w:lang w:eastAsia="ru-RU"/>
        </w:rPr>
        <w:t xml:space="preserve">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645DDE" w:rsidRPr="00BF2C44" w:rsidRDefault="00645DDE" w:rsidP="00BF2C4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F2C44">
        <w:rPr>
          <w:lang w:eastAsia="ru-RU"/>
        </w:rPr>
        <w:t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акциями, в том числе передавать их в залог или обременять другими способами, о чем регистратор общества без распоряжения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  <w:r w:rsidR="00BF2C44">
        <w:rPr>
          <w:lang w:eastAsia="ru-RU"/>
        </w:rPr>
        <w:t xml:space="preserve"> </w:t>
      </w:r>
      <w:r w:rsidRPr="00BF2C44">
        <w:rPr>
          <w:lang w:eastAsia="ru-RU"/>
        </w:rPr>
        <w:t>Со дня получения номинальным держателем акций от акционера указания (инструкции)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 числе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</w:p>
    <w:p w:rsidR="00E62947" w:rsidRPr="00E62947" w:rsidRDefault="00E62947" w:rsidP="00E62947">
      <w:pPr>
        <w:ind w:firstLine="567"/>
        <w:jc w:val="both"/>
        <w:rPr>
          <w:lang w:eastAsia="ru-RU"/>
        </w:rPr>
      </w:pPr>
      <w:r w:rsidRPr="00E62947">
        <w:rPr>
          <w:lang w:eastAsia="ru-RU"/>
        </w:rPr>
        <w:t xml:space="preserve">Совет директоров 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акций, в котором должны содержаться сведения о количестве акций, в отношении которых заявлены требования об их выкупе, и количестве, в котором они могут быть выкуплены обществом, а в случае принятия общим собранием акционеров общества решений, предусмотренных </w:t>
      </w:r>
      <w:hyperlink r:id="rId7" w:history="1">
        <w:r w:rsidRPr="00E62947">
          <w:rPr>
            <w:lang w:eastAsia="ru-RU"/>
          </w:rPr>
          <w:t>абзацем четвертым п. 1 ст. 75</w:t>
        </w:r>
      </w:hyperlink>
      <w:r w:rsidRPr="00E62947">
        <w:rPr>
          <w:lang w:eastAsia="ru-RU"/>
        </w:rPr>
        <w:t xml:space="preserve"> </w:t>
      </w:r>
      <w:r>
        <w:rPr>
          <w:lang w:eastAsia="ru-RU"/>
        </w:rPr>
        <w:t>ФЗ «Об акционерных обществах»</w:t>
      </w:r>
      <w:r w:rsidRPr="00E62947">
        <w:rPr>
          <w:lang w:eastAsia="ru-RU"/>
        </w:rPr>
        <w:t>, также сведения о вступлении таких решений в силу.</w:t>
      </w:r>
    </w:p>
    <w:p w:rsidR="00EB3663" w:rsidRPr="005120A5" w:rsidRDefault="00EB3663" w:rsidP="00E62947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</w:pPr>
      <w:r w:rsidRPr="005120A5">
        <w:t>По истечении 45 дней</w:t>
      </w:r>
      <w:r w:rsidR="00BF2C44">
        <w:t xml:space="preserve"> с даты принятия собранием соответствующего решения</w:t>
      </w:r>
      <w:r w:rsidRPr="005120A5">
        <w:t xml:space="preserve"> общество обязано выкупить акции у акционеров, включенных в список лиц, имеющих право требовать выкупа обществом принадлежащих им акций</w:t>
      </w:r>
      <w:r w:rsidR="00BF2C44">
        <w:t xml:space="preserve"> и предъявивших требования о выкупе Обществу</w:t>
      </w:r>
      <w:r w:rsidRPr="005120A5">
        <w:t>, в течение 30 дней.</w:t>
      </w:r>
      <w:r w:rsidR="00BF2C44">
        <w:t xml:space="preserve"> В случае предъявления требован</w:t>
      </w:r>
      <w:r w:rsidR="00E62947">
        <w:t>ий о выкупе акций лицами, не вклю</w:t>
      </w:r>
      <w:r w:rsidR="00BF2C44">
        <w:t>ченными в указанный список, Общество не позднее пяти рабочих дней после истечения срока предъявления требований, обязано направить отказ в удовлетворении таких требований.</w:t>
      </w:r>
    </w:p>
    <w:p w:rsidR="00EB3663" w:rsidRPr="00111F3D" w:rsidRDefault="00EB3663" w:rsidP="00E62947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111F3D"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</w:t>
      </w:r>
      <w:r w:rsidR="00E62947">
        <w:rPr>
          <w:lang w:eastAsia="ru-RU"/>
        </w:rPr>
        <w:t xml:space="preserve"> </w:t>
      </w:r>
      <w:r w:rsidRPr="00111F3D"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EB3663" w:rsidRDefault="00E62947" w:rsidP="00952395">
      <w:pPr>
        <w:adjustRightInd w:val="0"/>
        <w:ind w:right="255"/>
        <w:jc w:val="both"/>
      </w:pPr>
      <w:r>
        <w:tab/>
      </w:r>
    </w:p>
    <w:p w:rsidR="00E62947" w:rsidRPr="00111F3D" w:rsidRDefault="00E96FE3" w:rsidP="00952395">
      <w:pPr>
        <w:adjustRightInd w:val="0"/>
        <w:ind w:right="255"/>
        <w:jc w:val="both"/>
      </w:pPr>
      <w:r>
        <w:tab/>
        <w:t>Рекомендуемая форма Требования</w:t>
      </w:r>
      <w:r w:rsidR="00E62947">
        <w:t xml:space="preserve"> </w:t>
      </w:r>
      <w:r>
        <w:t>прилагается.</w:t>
      </w:r>
    </w:p>
    <w:p w:rsidR="00A714D8" w:rsidRDefault="004521F9" w:rsidP="007B43A3">
      <w:pPr>
        <w:spacing w:before="100" w:beforeAutospacing="1"/>
        <w:jc w:val="both"/>
      </w:pPr>
      <w:r>
        <w:tab/>
      </w:r>
      <w:r w:rsidR="009A162C">
        <w:t>Телефоны для справок: (812) 362-73-77, 237-08-81.</w:t>
      </w:r>
      <w:r>
        <w:tab/>
      </w:r>
    </w:p>
    <w:p w:rsidR="004521F9" w:rsidRDefault="00DD31E8" w:rsidP="007B43A3">
      <w:pPr>
        <w:spacing w:before="100" w:before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1E8" w:rsidRPr="005120A5" w:rsidRDefault="004521F9" w:rsidP="007B43A3">
      <w:pPr>
        <w:spacing w:before="100" w:before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1E8">
        <w:tab/>
        <w:t xml:space="preserve">Совет директоров </w:t>
      </w:r>
      <w:proofErr w:type="spellStart"/>
      <w:r w:rsidR="00DD31E8">
        <w:t>ПАО</w:t>
      </w:r>
      <w:proofErr w:type="spellEnd"/>
      <w:r w:rsidR="00DD31E8">
        <w:t xml:space="preserve"> «Гипрометиз»</w:t>
      </w:r>
    </w:p>
    <w:sectPr w:rsidR="00DD31E8" w:rsidRPr="005120A5" w:rsidSect="00DD31E8">
      <w:pgSz w:w="11906" w:h="16838"/>
      <w:pgMar w:top="1134" w:right="851" w:bottom="113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BBF4288"/>
    <w:multiLevelType w:val="hybridMultilevel"/>
    <w:tmpl w:val="DBD2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0832"/>
    <w:multiLevelType w:val="multilevel"/>
    <w:tmpl w:val="354068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bCs/>
      </w:rPr>
    </w:lvl>
  </w:abstractNum>
  <w:abstractNum w:abstractNumId="3" w15:restartNumberingAfterBreak="0">
    <w:nsid w:val="63C137BA"/>
    <w:multiLevelType w:val="multilevel"/>
    <w:tmpl w:val="13947C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bCs/>
      </w:rPr>
    </w:lvl>
  </w:abstractNum>
  <w:abstractNum w:abstractNumId="4" w15:restartNumberingAfterBreak="0">
    <w:nsid w:val="65EB2D7C"/>
    <w:multiLevelType w:val="multilevel"/>
    <w:tmpl w:val="21FC30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lvlText w:val="12.%2.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29"/>
    <w:rsid w:val="00005DA7"/>
    <w:rsid w:val="00011AD1"/>
    <w:rsid w:val="000233B6"/>
    <w:rsid w:val="00027BE0"/>
    <w:rsid w:val="00111F3D"/>
    <w:rsid w:val="00156515"/>
    <w:rsid w:val="00167B90"/>
    <w:rsid w:val="001A679F"/>
    <w:rsid w:val="001C19A6"/>
    <w:rsid w:val="00227A38"/>
    <w:rsid w:val="002364FE"/>
    <w:rsid w:val="00282C3F"/>
    <w:rsid w:val="002C55CB"/>
    <w:rsid w:val="002D13CB"/>
    <w:rsid w:val="00345748"/>
    <w:rsid w:val="00393F2A"/>
    <w:rsid w:val="004204B5"/>
    <w:rsid w:val="004521F9"/>
    <w:rsid w:val="004F1BF8"/>
    <w:rsid w:val="00506AEE"/>
    <w:rsid w:val="00511749"/>
    <w:rsid w:val="005120A5"/>
    <w:rsid w:val="005853F7"/>
    <w:rsid w:val="005D0E35"/>
    <w:rsid w:val="00645DDE"/>
    <w:rsid w:val="00662E47"/>
    <w:rsid w:val="006C05B9"/>
    <w:rsid w:val="007B43A3"/>
    <w:rsid w:val="007B6AC2"/>
    <w:rsid w:val="007E6C41"/>
    <w:rsid w:val="007F00BA"/>
    <w:rsid w:val="00852681"/>
    <w:rsid w:val="00890C0E"/>
    <w:rsid w:val="00910FA5"/>
    <w:rsid w:val="00916165"/>
    <w:rsid w:val="00952395"/>
    <w:rsid w:val="0097396A"/>
    <w:rsid w:val="009A162C"/>
    <w:rsid w:val="009A4529"/>
    <w:rsid w:val="00A6755D"/>
    <w:rsid w:val="00A714D8"/>
    <w:rsid w:val="00A979B2"/>
    <w:rsid w:val="00AC11E5"/>
    <w:rsid w:val="00AF4C65"/>
    <w:rsid w:val="00B26576"/>
    <w:rsid w:val="00B62E79"/>
    <w:rsid w:val="00B65CD5"/>
    <w:rsid w:val="00B65D94"/>
    <w:rsid w:val="00B67487"/>
    <w:rsid w:val="00BA4D26"/>
    <w:rsid w:val="00BF2C44"/>
    <w:rsid w:val="00D1532E"/>
    <w:rsid w:val="00DC2EBE"/>
    <w:rsid w:val="00DD31E8"/>
    <w:rsid w:val="00E27AB9"/>
    <w:rsid w:val="00E62947"/>
    <w:rsid w:val="00E96FE3"/>
    <w:rsid w:val="00EB3663"/>
    <w:rsid w:val="00F273F9"/>
    <w:rsid w:val="00F37824"/>
    <w:rsid w:val="00F73DB9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AC5DC-9CEA-45C2-A78F-2781EACD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B43A3"/>
    <w:pPr>
      <w:keepNext/>
      <w:tabs>
        <w:tab w:val="num" w:pos="360"/>
      </w:tabs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B43A3"/>
    <w:pPr>
      <w:suppressAutoHyphens/>
      <w:spacing w:after="0" w:line="240" w:lineRule="auto"/>
      <w:ind w:firstLine="709"/>
      <w:jc w:val="both"/>
    </w:pPr>
    <w:rPr>
      <w:rFonts w:ascii="HelvDL" w:eastAsia="Times New Roman" w:hAnsi="HelvDL" w:cs="HelvD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43A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Normal1">
    <w:name w:val="Normal1"/>
    <w:uiPriority w:val="99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0233B6"/>
  </w:style>
  <w:style w:type="paragraph" w:customStyle="1" w:styleId="2">
    <w:name w:val="Обычный2"/>
    <w:uiPriority w:val="99"/>
    <w:rsid w:val="001C19A6"/>
    <w:pPr>
      <w:suppressAutoHyphens/>
      <w:spacing w:after="0" w:line="240" w:lineRule="auto"/>
      <w:ind w:firstLine="709"/>
      <w:jc w:val="both"/>
    </w:pPr>
    <w:rPr>
      <w:rFonts w:ascii="HelvDL" w:eastAsia="Times New Roman" w:hAnsi="HelvDL" w:cs="HelvD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1C19A6"/>
    <w:pPr>
      <w:ind w:firstLine="709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156515"/>
    <w:pPr>
      <w:ind w:firstLine="567"/>
      <w:jc w:val="both"/>
    </w:pPr>
    <w:rPr>
      <w:sz w:val="24"/>
      <w:szCs w:val="24"/>
    </w:rPr>
  </w:style>
  <w:style w:type="paragraph" w:styleId="a3">
    <w:name w:val="List Paragraph"/>
    <w:aliases w:val="Нумерованый список"/>
    <w:basedOn w:val="a"/>
    <w:link w:val="a4"/>
    <w:uiPriority w:val="99"/>
    <w:qFormat/>
    <w:rsid w:val="0097396A"/>
    <w:pPr>
      <w:suppressAutoHyphens w:val="0"/>
      <w:ind w:left="720"/>
    </w:pPr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99"/>
    <w:locked/>
    <w:rsid w:val="0097396A"/>
    <w:rPr>
      <w:rFonts w:ascii="Calibri" w:eastAsia="Times New Roman" w:hAnsi="Calibri" w:cs="Calibri"/>
    </w:rPr>
  </w:style>
  <w:style w:type="paragraph" w:customStyle="1" w:styleId="a5">
    <w:name w:val="Îáû÷íûé"/>
    <w:uiPriority w:val="99"/>
    <w:rsid w:val="00D15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6755D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8">
    <w:name w:val="Òåêñò"/>
    <w:basedOn w:val="a"/>
    <w:uiPriority w:val="99"/>
    <w:rsid w:val="00A6755D"/>
    <w:pPr>
      <w:widowControl w:val="0"/>
      <w:suppressAutoHyphens w:val="0"/>
    </w:pPr>
    <w:rPr>
      <w:rFonts w:ascii="Courier New" w:hAnsi="Courier New" w:cs="Courier New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6755D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9A1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20">
    <w:name w:val="Body Text Indent 2"/>
    <w:basedOn w:val="a"/>
    <w:link w:val="22"/>
    <w:uiPriority w:val="99"/>
    <w:rsid w:val="004F1B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711583A0AB842E7F7C063F5FABFF99745CBF25DB990553E6AFCB5B4A1CFAC402983774EFBC38029C06B784ED983BEFD97D3B9ABCB764CGBv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33B0B82C0FA66222DAB9B21252F46EF1E14BAA42256FBC35BCDB7B81E286CB27C09D79C64398C9DD1A432BB0F6432E1702F57D02D3695CT2XDJ" TargetMode="External"/><Relationship Id="rId5" Type="http://schemas.openxmlformats.org/officeDocument/2006/relationships/hyperlink" Target="consultantplus://offline/ref=5F33B0B82C0FA66222DAB9B21252F46EF1E14BAA42256FBC35BCDB7B81E286CB27C09D79C64398C9DD1A432BB0F6432E1702F57D02D3695CT2X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1184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Hewlett-Packard Company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Shestakova</dc:creator>
  <cp:keywords/>
  <dc:description/>
  <cp:lastModifiedBy>Гейдаров Олег Юсифович</cp:lastModifiedBy>
  <cp:revision>3</cp:revision>
  <cp:lastPrinted>2019-05-20T16:51:00Z</cp:lastPrinted>
  <dcterms:created xsi:type="dcterms:W3CDTF">2019-05-22T13:51:00Z</dcterms:created>
  <dcterms:modified xsi:type="dcterms:W3CDTF">2019-05-23T07:06:00Z</dcterms:modified>
</cp:coreProperties>
</file>